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62"/>
        <w:gridCol w:w="2258"/>
        <w:tblGridChange w:id="0">
          <w:tblGrid>
            <w:gridCol w:w="7462"/>
            <w:gridCol w:w="22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a5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ffffff"/>
                <w:sz w:val="18"/>
                <w:szCs w:val="18"/>
                <w:rtl w:val="0"/>
              </w:rPr>
              <w:t xml:space="preserve">APPLIANCE BUSINESS SYSTEMIZATION FRAMEWORK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cd34d"/>
                <w:rtl w:val="0"/>
              </w:rPr>
              <w:t xml:space="preserve">Standard Operating Procedure Template – Pillar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7706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ef3c7"/>
                <w:sz w:val="16"/>
                <w:szCs w:val="16"/>
                <w:rtl w:val="0"/>
              </w:rPr>
              <w:t xml:space="preserve">SOP-001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3060"/>
        <w:gridCol w:w="1800"/>
        <w:gridCol w:w="3060"/>
        <w:tblGridChange w:id="0">
          <w:tblGrid>
            <w:gridCol w:w="1800"/>
            <w:gridCol w:w="3060"/>
            <w:gridCol w:w="1800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ebf2fa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SOP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ebf2fa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SOP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ebf2fa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ebf2fa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Operational Domain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ebf2fa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Effective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ebf2fa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Prepared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ebf2fa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20"/>
                <w:szCs w:val="20"/>
                <w:rtl w:val="0"/>
              </w:rPr>
              <w:t xml:space="preserve">Approved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d97706" w:space="1" w:sz="4" w:val="single"/>
        </w:pBdr>
        <w:spacing w:after="120" w:before="2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b3a5c"/>
          <w:sz w:val="24"/>
          <w:szCs w:val="24"/>
          <w:rtl w:val="0"/>
        </w:rPr>
        <w:t xml:space="preserve">COMPONENT 1 —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State the defined purpose and intended outcome of this process. What problem does this SOP solve? What should be true after this SOP is executed correctly?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b3a5c"/>
          <w:sz w:val="20"/>
          <w:szCs w:val="20"/>
          <w:rtl w:val="0"/>
        </w:rPr>
        <w:t xml:space="preserve">Primary 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e2e8f0" w:space="0" w:sz="4" w:val="single"/>
        </w:pBdr>
        <w:spacing w:after="8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bottom w:color="e2e8f0" w:space="0" w:sz="4" w:val="single"/>
        </w:pBdr>
        <w:spacing w:after="8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bottom w:color="e2e8f0" w:space="0" w:sz="4" w:val="single"/>
        </w:pBdr>
        <w:spacing w:after="8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b3a5c"/>
          <w:sz w:val="20"/>
          <w:szCs w:val="20"/>
          <w:rtl w:val="0"/>
        </w:rPr>
        <w:t xml:space="preserve">Success Looks Like: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e2e8f0" w:space="0" w:sz="4" w:val="single"/>
        </w:pBdr>
        <w:spacing w:after="8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bottom w:color="e2e8f0" w:space="0" w:sz="4" w:val="single"/>
        </w:pBdr>
        <w:spacing w:after="8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bottom w:color="e2e8f0" w:space="0" w:sz="4" w:val="single"/>
        </w:pBdr>
        <w:spacing w:after="8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d97706" w:space="1" w:sz="4" w:val="single"/>
        </w:pBdr>
        <w:spacing w:after="120" w:before="2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b3a5c"/>
          <w:sz w:val="24"/>
          <w:szCs w:val="24"/>
          <w:rtl w:val="0"/>
        </w:rPr>
        <w:t xml:space="preserve">COMPONENT 2 — SCOPE &amp; 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Who is involved in executing this SOP? Define primary owner and supporting roles.</w:t>
      </w: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0"/>
        <w:gridCol w:w="4560"/>
        <w:gridCol w:w="2760"/>
        <w:tblGridChange w:id="0">
          <w:tblGrid>
            <w:gridCol w:w="2400"/>
            <w:gridCol w:w="4560"/>
            <w:gridCol w:w="2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Responsibility in This SOP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When They 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Primary Owner (e.g. CSR, Dispatcher, Tech)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Supporting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Oversight /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d97706" w:space="1" w:sz="4" w:val="single"/>
        </w:pBdr>
        <w:spacing w:after="120" w:before="280" w:line="240" w:lineRule="auto"/>
        <w:rPr>
          <w:b w:val="1"/>
          <w:bCs w:val="1"/>
          <w:color w:val="1b3a5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d97706" w:space="1" w:sz="4" w:val="single"/>
        </w:pBdr>
        <w:spacing w:after="120" w:before="280" w:line="240" w:lineRule="auto"/>
        <w:rPr>
          <w:b w:val="1"/>
          <w:bCs w:val="1"/>
          <w:color w:val="1b3a5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d97706" w:space="1" w:sz="4" w:val="single"/>
        </w:pBdr>
        <w:spacing w:after="120" w:before="2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b3a5c"/>
          <w:sz w:val="24"/>
          <w:szCs w:val="24"/>
          <w:rtl w:val="0"/>
        </w:rPr>
        <w:t xml:space="preserve">COMPONENT 3 — STEP-BY-STEP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List each step in execution order. Be specific enough that any trained employee can follow this without asking questions.</w:t>
      </w: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1800"/>
        <w:gridCol w:w="5520"/>
        <w:gridCol w:w="1800"/>
        <w:tblGridChange w:id="0">
          <w:tblGrid>
            <w:gridCol w:w="600"/>
            <w:gridCol w:w="1800"/>
            <w:gridCol w:w="552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Action / 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Expected Output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color w:val="1e293b"/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color w:val="1e293b"/>
                <w:sz w:val="20"/>
                <w:szCs w:val="20"/>
              </w:rPr>
            </w:pPr>
            <w:r w:rsidDel="00000000" w:rsidR="00000000" w:rsidRPr="00000000">
              <w:rPr>
                <w:color w:val="1e293b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bottom w:color="d97706" w:space="1" w:sz="4" w:val="single"/>
        </w:pBdr>
        <w:spacing w:after="120" w:before="2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b3a5c"/>
          <w:sz w:val="24"/>
          <w:szCs w:val="24"/>
          <w:rtl w:val="0"/>
        </w:rPr>
        <w:t xml:space="preserve">COMPONENT 4 — TOOLS &amp; SOFTWARE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List every system, platform, form, or resource needed to execute this SOP correctly.</w:t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3240"/>
        <w:gridCol w:w="3240"/>
        <w:tblGridChange w:id="0">
          <w:tblGrid>
            <w:gridCol w:w="3240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Tool / Platform /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Purpose in This SOP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Access /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bottom w:color="d97706" w:space="1" w:sz="4" w:val="single"/>
        </w:pBdr>
        <w:spacing w:after="120" w:before="280" w:line="240" w:lineRule="auto"/>
        <w:rPr>
          <w:b w:val="1"/>
          <w:bCs w:val="1"/>
          <w:color w:val="1b3a5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bottom w:color="d97706" w:space="1" w:sz="4" w:val="single"/>
        </w:pBdr>
        <w:spacing w:after="120" w:before="280" w:line="240" w:lineRule="auto"/>
        <w:rPr>
          <w:b w:val="1"/>
          <w:bCs w:val="1"/>
          <w:color w:val="1b3a5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d97706" w:space="1" w:sz="4" w:val="single"/>
        </w:pBdr>
        <w:spacing w:after="120" w:before="280" w:line="240" w:lineRule="auto"/>
        <w:rPr>
          <w:b w:val="1"/>
          <w:bCs w:val="1"/>
          <w:color w:val="1b3a5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bottom w:color="d97706" w:space="1" w:sz="4" w:val="single"/>
        </w:pBdr>
        <w:spacing w:after="120" w:before="2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b3a5c"/>
          <w:sz w:val="24"/>
          <w:szCs w:val="24"/>
          <w:rtl w:val="0"/>
        </w:rPr>
        <w:t xml:space="preserve">COMPONENT 5 — ACCOUNTABILITY CHECKPOINTS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color w:val="374151"/>
          <w:sz w:val="20"/>
          <w:szCs w:val="20"/>
          <w:rtl w:val="0"/>
        </w:rPr>
        <w:t xml:space="preserve">Define how compliance with this SOP is verified. Connect each checkpoint to a measurable KPI where possible.</w:t>
      </w:r>
      <w:r w:rsidDel="00000000" w:rsidR="00000000" w:rsidRPr="00000000">
        <w:rPr>
          <w:rtl w:val="0"/>
        </w:rPr>
      </w:r>
    </w:p>
    <w:tbl>
      <w:tblPr>
        <w:tblStyle w:val="Table6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160"/>
        <w:gridCol w:w="2160"/>
        <w:gridCol w:w="2520"/>
        <w:tblGridChange w:id="0">
          <w:tblGrid>
            <w:gridCol w:w="2880"/>
            <w:gridCol w:w="2160"/>
            <w:gridCol w:w="216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Checkpoint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Who Verifies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Linked KPI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Daily / Weekly / 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4a3b8"/>
                <w:sz w:val="20"/>
                <w:szCs w:val="20"/>
                <w:rtl w:val="0"/>
              </w:rPr>
              <w:t xml:space="preserve">e.g. First-Call Completion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4a3b8"/>
                <w:sz w:val="20"/>
                <w:szCs w:val="20"/>
                <w:rtl w:val="0"/>
              </w:rPr>
              <w:t xml:space="preserve">e.g. Callback 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8faf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4a3b8"/>
                <w:sz w:val="20"/>
                <w:szCs w:val="20"/>
                <w:rtl w:val="0"/>
              </w:rPr>
              <w:t xml:space="preserve">e.g. Revenue per Call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20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bottom w:color="d97706" w:space="1" w:sz="4" w:val="single"/>
        </w:pBdr>
        <w:spacing w:after="120" w:before="2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1b3a5c"/>
          <w:sz w:val="24"/>
          <w:szCs w:val="24"/>
          <w:rtl w:val="0"/>
        </w:rPr>
        <w:t xml:space="preserve">REVISION HISTORY &amp; NOTES</w:t>
      </w:r>
      <w:r w:rsidDel="00000000" w:rsidR="00000000" w:rsidRPr="00000000">
        <w:rPr>
          <w:rtl w:val="0"/>
        </w:rPr>
      </w:r>
    </w:p>
    <w:tbl>
      <w:tblPr>
        <w:tblStyle w:val="Table7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1800"/>
        <w:gridCol w:w="4680"/>
        <w:gridCol w:w="1800"/>
        <w:tblGridChange w:id="0">
          <w:tblGrid>
            <w:gridCol w:w="1440"/>
            <w:gridCol w:w="1800"/>
            <w:gridCol w:w="468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Changes Made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b3a5c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Updated 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color="d97706" w:space="1" w:sz="4" w:val="single"/>
        </w:pBdr>
        <w:spacing w:before="160" w:line="240" w:lineRule="auto"/>
        <w:jc w:val="center"/>
        <w:rPr>
          <w:sz w:val="20"/>
          <w:szCs w:val="20"/>
        </w:rPr>
      </w:pPr>
      <w:r w:rsidDel="00000000" w:rsidR="00000000" w:rsidRPr="00000000">
        <w:rPr>
          <w:color w:val="64748b"/>
          <w:sz w:val="16"/>
          <w:szCs w:val="16"/>
          <w:rtl w:val="0"/>
        </w:rPr>
        <w:t xml:space="preserve">Appliance Business Systemization Framework (ABSF) – Pillar 1: Operational Standardization  –  JourneyToCEO.com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color w:val="9ca3af"/>
          <w:sz w:val="16"/>
          <w:szCs w:val="16"/>
          <w:rtl w:val="0"/>
        </w:rPr>
        <w:t xml:space="preserve">Developed by Wilmer Toro – Appliance GrandMasters – ASTI National Instructor 2024–2026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